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13 171 vom 30. Oktober 2013</w:t>
      </w:r>
    </w:p>
    <w:p>
      <w:r>
        <w:t>BL Gerichte, 2013-10-30, DE</w:t>
      </w:r>
    </w:p>
    <w:p>
      <w:r>
        <w:rPr>
          <w:b/>
        </w:rPr>
        <w:t xml:space="preserve">Quelle: </w:t>
      </w:r>
      <w:r>
        <w:t>https://mcp.opencaselaw.ch/entscheid/bl_gerichte_810 13 171</w:t>
      </w:r>
    </w:p>
    <w:p>
      <w:r>
        <w:t>FR: BL_GERICHTE 810 13 171 du 30 octobre 2013</w:t>
      </w:r>
    </w:p>
    <w:p>
      <w:r>
        <w:t>IT: BL_GERICHTE 810 13 171 del 30 ottobre 2013</w:t>
      </w:r>
    </w:p>
    <w:p>
      <w:pPr>
        <w:pStyle w:val="Heading2"/>
      </w:pPr>
      <w:r>
        <w:t>Regeste</w:t>
      </w:r>
    </w:p>
    <w:p>
      <w:r>
        <w:t>Anordnung von medizinischen Auflagen (RRB Nr. 721 vom 30. April 2013)</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gemäss den §§ 43 ff. VPO erfüllt sind und die Zuständigkeit des Kantonsgerichts sowohl örtlich als auch sachlich gegeben ist,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Führerausweise dürfen nicht erteilt werden, wenn der Bewerber an einer die Fahreignung ausschliessenden Sucht leidet (Art. 14 Abs. 2 lit. c des Strassenverkehrsgesetzes [SVG] vom 19. Dezember 1958 in der bis zum 31. Dezember 2012 geltenden Fassung; vgl. auch Art. 14 Abs. 1 sowie Abs. 2 lit. c SVG in der seit dem 1. Januar 2013 geltenden Fassung). Der Führerausweis wird entzogen,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Aufgrund des Verhältnismässigkeitsprinzips ist es möglich, dem Betroffenen den Ausweis nur unter Auflagen zu belassen.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(Urteil des Bundesgerichts 1C_556/2012 vom 23. April 2013 E. 2.1; BGE 129 II 86 f. E. 4.1; 127 II 126 E. 3c mit Hinweisen).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(BGE 128 II 335 E. 4a mit Hinweisen). 3.2 Art. 15d Abs. 1 SVG ist seit dem 1. Januar 2013 in Kraft und hält fest, dass eine Person einer Fahreignungsuntersuchung unterzogen wird, wenn Zweifel an der Fahreignung bestehen. In einer nicht abschliessenden Aufzählung nennt Art. 15d Abs. 1 SVG Beispiele von Fällen, in denen Zweifel an der Fahreignung bestehen (lit. a-e). Dies ist unter anderem der Fall bei Fahren unter dem Einfluss von Betäubungsmitteln oder bei Mitführen von Betäubungsmitteln, welche die Fahrfähigkeit stark beeinträchtigen oder ein hohes Abhängigkeitspotenzial aufweisen (lit. b). Auch nach der Rechtsprechung zum bereits vom dem 1. Januar 2013 geltenden Recht hat die zuständige Behörde im Hinblick auf einen allfälligen Sicherungsentzug des Führerausweises die erforderlichen Abklärungen zu treffen, wenn Anzeichen vorliegen, dass bei einer Person die Fahreignung fehlen könnte. Bei Verdacht auf eine Alkohol- oder Betäubungsmittelabhängigkeit darf nach der bundesgerichtlichen Rechtsprechung eine verkehrsmedizinische Abklärung angeordnet werden, sofern konkrete Anhaltspunkte vorliegen, die ernsthafte Zweifel an der Fahreignung des Betroffenen wecken (Urteil des Bundesgerichts 1C_328/2013 vom 18. September 2013 E. 3.2; 1C_248/2011 vom 30. Januar 2012 E. 4 sowie 1C_256/2011 vom 22. September 2011 E. 2.2, vgl. auch den per 1. Januar 2013 in Kraft getretenen Art. 15d Abs. 1 SVG). Hingegen wird für die Anordnung einer verkehrsmedizinischen Untersuchung nicht zwingend vorausgesetzt, dass die betroffene Person unter dem Einfluss von Betäubungsmitteln gefahren ist oder Betäubungsmittel im Fahrzeug mitgeführt hat (Urteil des Bundesgerichts 1C_328/2013 vom 18. September 2013 E. 3.2; 1C_446/2012 vom 26. April 2013 E. 3.2). Da sich insoweit nichts an der materiellen Rechtslage ändert, kann die übergangsrechtliche Frage offen bleiben, ob der seit dem 1. Januar in Kraft stehende Art. 15d SVG im vorliegenden Fall bereits anwendbar ist oder nicht (Urteil des Bundesgerichts 1C_328/2013 vom 18. September 2013 E. 3.2). Zudem ist vorliegend nicht Gegenstand des Verfahrens, ob die Anordnung der medizinischen Eignungsabklärung rechtens war, da diese nicht angefochten worden und somit in Rechtskraft erwachsen ist. 4.1. Zu prüfen ist, ob die gestützt auf die Ergebnisse der medizinischen Eignungsabklärung gegenüber A. verfügte Anordnung, dass die Zulassung als Motorfahrzeuglenker der Gruppe 3 mit der medizinischen Auflage der Einhaltung und des Nachweises einer Drogenabstinenz über einen Zeitraum von mindestens sechs Monaten verbunden werde, zu schützen ist. 4.2. Die Polizei stellt ihre Verfügung auf das Gutachten der UPK vom 14. November 2012 ab. 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verstossen (Art. 9 der Bundesverfassung der Schweizerischen Eidgenossenschaft vom 18. April 1999; BGE 133 II 391 E. 4.2.3; 130 I 345 f. E. 5.4.2; 129 I 57 E. 4; 128 I 88 E. 2). 4.3. Im Gutachten der UPK vom 14. November 2012 wird festgehalten, dass das Ergebnis der labormedizinischen Analyse einer Blutprobe von A. vom 9. August 2012 normwertige Leberenzyme ergeben hätte. Das mittlere Volumen der roten Blutkörperchen sei im Normalbereich, ebenso der CDT-Wert (ein Marker zum Nachweis von regelmässig erhöhtem Alkoholkonsum in den letzten drei Wochen). Das Drogenscreening (Urin) vom 9. August 2012 habe negative Befunde für Tetrahydrocannabinol, Opiate, Methadon, Kokain, Benzodiazepine und Amphetamine ergeben. Im Gutachten wird ausgeführt, dass sich beim Beschwerdeführer anlässlich der aktuellen verkehrmedizinischen Untersuchung weder klinisch noch labortechnisch Hinweise auf das Vorliegen einer Betäubungsmittelabhängigkeit ergeben würden. Der Beschwerdeführer berichte über seinen Cannabiskonsum in der Vergangenheit und dass er seit Dezember 2011 keinen mehr konsumiere. Zuvor habe er unterschiedlich viel Cannabis konsumiert, durchschnittlich sei dies zwei- bis dreimal pro Woche vorgekommen. Dazwischen habe es aber auch Wochen gegeben, in welchen er gar keinen Cannabis konsumiert habe, aber auch Phasen, in welchen er täglich geraucht habe. Das erste Mal Cannabis habe er vor zwei Jahren konsumiert. Der Konsum anderer Drogen wie Amphetamine oder Kokain sowie auch die Einnahme von Benzodiazepinen sei vom Exploranden verneint worden. Im Rahmen der Begutachtung hätten sich keine Hinweise auf das Vorliegen einer Abhängigkeit oder eines schädlichen Gebrauchs von Substanzen ergeben. Unter dem Titel "Zusammenfassung und Beurteilung" halten die Gutachter fest, dass es sich diagnostisch beim Beschwerdeführer um einen Konsumenten von Cannabis handle, bei angegebener Abstinenz seit Dezember 2011. Da der Beschwerdeführer gemäss Anzeige der Polizei Basel-Landschaft vom 16. Dezember 2011 damals auf die Frage, ob er in Vergangenheit schon einmal "bekifft" mit einem Auto gefahren sei, angegeben habe, dass er in Vergangenheit "alles bekifft gemacht" habe, müsse davon ausgegangen werden, dass dem früheren Cannabiskonsum des Exploranden Verkehrsrelevanz zukomme. Aufgrund dessen und auch gestützt auf die Angaben des Exploranden bezüglich seines Cannabiskonsums im Untersuchungsgespräch empfehle sich aus gutachterlicher Sicht, seine weitere Zulassung als Motorfahrzeuglenker mit der Auflage eines Drogenabstinenznachweises über die Dauer von mindestens sechs Monaten zu verbinden. Auf die Fragen nach der Fahreignung und der verkehrsmedizinischen Diagnose antworten die Gutachter dass es beim Beschwerdeführer um einen Konsumenten von Cannabis (ICD-10 Z72.2) handle, bei angegebener Abstinenz seit Dezember 2011. Im Rahmen der Begutachtung hätten sich keine Hinweise auf das Vorliegen einer Abhängigkeit oder eines schädlichen Gebrauchs ergeben. Gestützt auf die Angaben des Exploranden anlässlich der Polizeikontrolle am 12. Dezember 2011 müsse davon ausgegangen werden, dass dem früheren Cannabiskonsum des Exploranden Verkehrsrelevanz zukomme. Hinweise auf das Vorliegen einer verkehrsrelevanten psychischen Erkrankung, anderer offensichtlicher verkehrsrelevanter Befunde oder Erkrankungen oder einer verkehrsrelevanten charakterlichen Problematik hätten zum Begutachtungszeitpunkt nicht vorgelegen. Die Fahreignung könne aus medizinischer Sicht befürwortet werden mit Auflagen. Aus gutachterlicher Sicht empfehle es sich, die weitere Zulassung des Exploranden zum motorisierten Strassenverkehr mit der Auflage eines Drogenabstinenznachweises mittels Urinproben-Kontrollen über den Zeitraum von mindestens sechs Monaten zu verbinden. 4.4. Aufgrund der Vorgeschichte und des Gutachtens ist unbestritten, dass der Beschwerdeführer Haschisch bzw. Cannabis über längere Zeit konsumiert hat. Das Gutachten hält aber unmissverständlich fest, dass sich keine Hinweise auf das Vorliegen einer Abhängigkeit oder eines schädlichen Gebrauchs von Substanzen ergeben hätten. Auch hätten zum Begutachtungszeitpunkt keine Hinweise auf das Vorliegen einer verkehrsrelevanten psychischen Erkrankung, anderer offensichtlicher verkehrsrelevanter Befunde oder Erkrankungen oder einer verkehrsrelevanten charakterlichen Problematik vorgelegen. Die Gutachter basieren die Anordnung der medizinischen Auflage der Einhaltung und des Nachweises einer Drogenabstinenz über einen Zeitraum von mindestens sechs Monaten auf der bestrittenen Aussage des Beschwerdeführers, er habe in der Vergangenheit schon "alles bekifft gemacht" und auf den Angaben des Exploranden bezüglich seines früheren Cannabiskonsums im Untersuchungsgespräch. In der Anzeige der Polizei, Hauptposten C. , an die Staatsanwaltschaft Basel-Landschaft vom 12. Dezember 2011 hält der Schreibende, einer der zwei Polizisten der Sicherheitspatrouille, welche den Beschwerdeführer am 12. Dezember 2011 kontrolliert hatte, fest, dass er und sein Kollege nach dem durchgeführten Drogenschnelltest, welcher positiv auf Cannabis reagiert habe, den Beschwerdeführer darauf hingewiesen hätten, dass er nicht mehr Auto fahren dürfe. Der Schreibende habe den Beschwerdeführer gefragt, ob er in Vergangenheit schon einmal bekifft mit dem Auto gefahren sei. Der Beschwerdeführer habe angegeben, in Vergangenheit alles bekifft gemacht zu haben. Aus der Anzeige ist ebenfalls ersichtlich, dass der Beschwerdeführer bei der Hauptabteilung Verkehr, Administrativdienst, wegen Geschwindigkeitsdelikten, jedoch nicht wegen Drogendelikten registriert ist. Auf fehlende Fahreignung darf geschlossen werden, wenn der Betroffene nicht mehr in der Lage ist, Haschischkonsum und Strassenverkehr ausreichend zu trennen, oder wenn die nahe liegende Gefahr besteht, dass er im akuten Rauschzustand am motorisierten Strassenverkehr teilnimmt (BGE 128 II 335 E. 3c; Urteil des Bundesgerichts 1C_556/2012 vom 23. April 2013 E. 2.1). Im Gutachten wird erstens unmissverständlich festgehalten, dass sich keine Hinweise auf das Vorliegen einer Abhängigkeit oder eines schädlichen Gebrauchs von Substanzen ergeben hätten. Zweitens finden sich im Gutachten keine Anhaltspunkte dafür, dass der Beschwerdeführer in einem allfälligen akuten Rauschzustand am motorisierten Strassenverkehr teilnehmen würde. Ob er dies in der Vergangenheit getan hat und damit die umstrittene Aussage des Beschwerdeführers, alles bekifft gemacht zu haben, der Wahrheit entsprach, kann offen gelassen werden. Anhaltspunkte dafür, dass dies immer noch so sein könnte, liegen keine vor. Überdies deutet die Tatsache - dass der Beschwerdeführer bei der Hauptabteilung Verkehr zwar wegen Geschwindigkeitsdelikten, jedoch nicht wegen Drogendelikten registriert ist, obwohl er gemäss eigenen Angaben über längere Zeit Haschischkonsument war - darauf, dass er sehr wohl in der Lage war, Haschischkonsum und Strassenverkehr ausreichend zu trennen (Urteil des Bundesgerichts 1C_556/2012 vom 23. April 2013 E. 2.3; 1C_256/2011 vom 22. September 2011 E. 2.5). Das Gericht kann sich den Schlussfolgerungen der Gutachter somit nicht anschliessen. Folglich ist die angefochtene Anordnung der Auflagen aufzuheben und die Beschwerde gutzuheissen.</w:t>
      </w:r>
    </w:p>
    <w:p>
      <w:r>
        <w:rPr>
          <w:b/>
        </w:rPr>
        <w:t>E. 5</w:t>
      </w:r>
    </w:p>
    <w:p>
      <w:r>
        <w:t>Bei diesem Ausgang des Verfahrens können die Fragen, ob die Vorinstanzen die bestrittene Aussage des Beschwerdeführers, er habe alles bekifft gemacht, zu Recht verwerten durften, und ob der Regierungsrat durch die telefonische Erkundigung beim begutachtenden Arzt den Anspruch des Beschwerdeführers auf rechtliches Gehör verletzt hat, offen gelassen werden.</w:t>
      </w:r>
    </w:p>
    <w:p>
      <w:r>
        <w:rPr>
          <w:b/>
        </w:rPr>
        <w:t>E. 6</w:t>
      </w:r>
    </w:p>
    <w:p>
      <w:r>
        <w:t>Es bleibt noch über die Kosten zu entscheiden. Gestützt auf § 20 Abs. 1 VPO in Verbindung mit § 20 Abs. 3 VPO werden die Verfahrenskosten in der Regel der unterliegenden Partei in angemessenem Ausmass auferlegt. Den kantonalen Behörden gemäss Verwaltungsverfahrensgesetz Basel-Landschaft vom 13. Juni 1988 und den Gemeinden werden Verfahrenskosten nach § 20 Abs. 4 VPO jedoch nur auferlegt, wenn sie das Kantonsgericht in Anspruch nehmen. Vorliegendenfalls werden folglich keine Verfahrenskosten erhoben. Der ganz oder teilweise obsiegenden Partei kann für den Beizug eines Anwalts bzw. einer Anwältin eine angemessene Parteientschädigung zu Lasten der Gegenpartei zugesprochen werden. Der Rechtsvertreter des Beschwerdeführers macht in seiner Honorarnote vom 5. Juli 2013 für das Verfahren vor Kantonsgericht einen Aufwand von 10.03 Stunden à Fr. 300.-- sowie Auslagen in der Höhe von Fr. 41.50 zuzüglich 8% Mehrwertsteuer geltend. Der Rechtsvertreter geht für seine Arbeit von einem Stundenansatz von Fr. 300.-- aus. Gemäss § 3 der Tarifordnung für die Anwältinnen und Anwälte (Tarifordnung) vom 17. November 2003 beträgt das Honorar pro Stunde, je nach Schwierigkeit und Bedeutung der Sache, der damit verbundenen Verantwortung und der persönlichen und finanziellen Verhältnisse der zahlungspflichtigen oder der auftraggebenden Person, Fr. 180.-- bis Fr. 350.-- pro Stunde. Gestützt auf diese Tarifordnung geht das Kantonsgericht praxisgemäss von einem Stundenhonorar von Fr. 250.-- aus. In ganz seltenen Fällen (z.B. bei äusserst schwierigen und komplexen Fällen) akzeptierte es einen höheren Stundenansatz, was sich im vorliegenden Fall nicht rechtfertigt (KGE VV vom 11. August 2010 [810 10 43/44/45] E. 7.3.5; vom 25. November 2009 [ 810 09 279] E. 7.2.3 ; vom 26. April 2006 [810 05 367] E. 12.2.2; vom 24. März 2004 [ 810 03 361] E. 4.b ). Der geltend gemachte Aufwand von 10.03 Stunden ist nicht zu beanstanden. Damit hat der Regierungsrat dem Beschwerdeführer eine Parteientschädigung in der Höhe von Fr. 2'752.90 (10.03 Stunden à Fr. 250.-- zuzüglich Auflagen in der Höhe von Fr. 41.50 und 8 % Mehrwertsteuer) zu bezahlen. Demgemäss wird e r k a n n t : 1. In Gutheissung der Beschwerde wird der Regierungsratsbeschluss Nr. 721 vom 30. April 2013 aufgehoben. 2. Es werden keine Verfahrenskosten erhoben. Der geleistete Kostenvorschuss in der Höhe von Fr. 1'400.-- wird dem Beschwerdeführer zurückerstattet. 3. Der Regierungsrat hat dem Beschwerdeführer eine reduzierte Parteientschädigung in der Höhe von Fr. 2'752.90 (inkl. Auslagen und 8% Mehrwertsteuer) zu bezahlen. Im Übrigen werden die Parteikosten wettgeschlagen. 4. Die Angelegenheit wird zur Neuverlegung der Kosten des vorinstanzlichen Verfahrens an den Regierungsrat des Kantons Basel-Landschaft zurückgewiesen.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